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BRGO 2025 — Anträge und Empfehlungen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(1) Jedes Land hat das Recht, im Bundesrat Anträge zu stellen.</w:t>
      </w:r>
    </w:p>
    <w:p>
      <w:r>
        <w:t xml:space="preserve">(2) Das Präsidium kann Anträge zu den inneren Angelegenheiten des Bundesrates stellen.</w:t>
      </w:r>
    </w:p>
    <w:p>
      <w:r>
        <w:t xml:space="preserve">(3) Die Ausschüsse legen dem Bundesrat zu den ihnen überwiesenen Beratungsgegenständen Empfehlungen vor. Empfiehlt ein Ausschuss dem Bundesrat die Änderung oder Ablehnung einer Vorlage, so hat er eine Begründung mit vorzulegen.</w:t>
      </w:r>
    </w:p>
    <w:p>
      <w:r>
        <w:rPr>
          <w:color w:val="555555"/>
          <w:sz w:val="17"/>
        </w:rPr>
        <w:t xml:space="preserve">Zitiervorschlag: § 26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