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24 BRGO 2025 — Redebeiträge</w:t>
      </w:r>
    </w:p>
    <w:p>
      <w:r>
        <w:rPr>
          <w:color w:val="555555"/>
          <w:sz w:val="18"/>
        </w:rPr>
        <w:t xml:space="preserve">Geschäftsordnung des Bundesrates</w:t>
      </w:r>
    </w:p>
    <w:p>
      <w:r>
        <w:rPr>
          <w:color w:val="555555"/>
          <w:sz w:val="18"/>
        </w:rPr>
        <w:t xml:space="preserve">Stand: 29.05.2025 (konsolidierte Textfassung, kein amtliches Inkrafttretensdatum)</w:t>
      </w:r>
    </w:p>
    <w:p>
      <w:r>
        <w:t xml:space="preserve">Die Redebeiträge sind grundsätzlich in freiem Vortrag vom Redepult aus zu halten. Es können Aufzeichnungen benutzt werden.</w:t>
      </w:r>
    </w:p>
    <w:p>
      <w:r>
        <w:rPr>
          <w:color w:val="555555"/>
          <w:sz w:val="17"/>
        </w:rPr>
        <w:t xml:space="preserve">Zitiervorschlag: § 24 BRGO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https://recht.nulegal.eu/gesetze/BRGO%202025/24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24 BRGO 2025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