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BRGO 2025 — Feststellung und Durchführung der Tagesordnung</w:t>
      </w:r>
    </w:p>
    <w:p>
      <w:r>
        <w:rPr>
          <w:color w:val="555555"/>
          <w:sz w:val="18"/>
        </w:rPr>
        <w:t xml:space="preserve">Geschäftsordnung des Bundesrates</w:t>
      </w:r>
    </w:p>
    <w:p>
      <w:r>
        <w:rPr>
          <w:color w:val="555555"/>
          <w:sz w:val="18"/>
        </w:rPr>
        <w:t xml:space="preserve">Stand: 29.05.2025 (konsolidierte Textfassung, kein amtliches Inkrafttretensdatum)</w:t>
      </w:r>
    </w:p>
    <w:p>
      <w:r>
        <w:t xml:space="preserve">(1) Die Präsidentin oder der Präsident gibt zu Beginn der Sitzung Änderungen in der Zusammensetzung des Bundesrates bekannt.</w:t>
      </w:r>
    </w:p>
    <w:p>
      <w:r>
        <w:t xml:space="preserve">(2) Vor Eintritt in die Verhandlungen stellt der Bundesrat durch Beschluss die Tagesordnung fest. Davon unberührt bleibt die Aufnahme von Beratungsgegenständen, die aufgrund eines Verlangens nach § 15 Absatz 1, § 19 Absatz 2 oder § 23 Absatz 3 auf die Tagesordnung gesetzt werden.</w:t>
      </w:r>
    </w:p>
    <w:p>
      <w:r>
        <w:t xml:space="preserve">(3) Hat ein Land unter Berufung auf seine Rechte aus § 15 Absatz 1 spätestens zwei Wochen vor der Sitzung verlangt, dass ein Beratungsgegenstand auf die Tagesordnung gesetzt wird, so muss diesem Verlangen entsprochen werden, wenn das Land nicht auf die Behandlung in dieser Sitzung verzichtet.</w:t>
      </w:r>
    </w:p>
    <w:p>
      <w:r>
        <w:t xml:space="preserve">(4) Sind die Vorlage, die vorläufige Tagesordnung oder die Empfehlungen der Ausschüsse bezüglich eines Gegenstandes, der dem Beschluss nach Absatz 2 Satz 1 unterfällt, nicht spätestens am sechsten Tag vor der Sitzung gemäß § 15 Absatz 3 zugestellt worden, so darf dieser Gegenstand nicht auf die Tagesordnung gesetzt werden, wenn ein Land widerspricht. Dies gilt nicht, wenn eine für die Beschlussfassung des Bundesrates vorgesehene gesetzliche Frist in weniger als sieben Tagen abläuft oder wenn es sich um einen Eilfall einer EU-Vorlage gemäß § 45d Absatz 1 handelt.</w:t>
      </w:r>
    </w:p>
    <w:p>
      <w:r>
        <w:t xml:space="preserve">(5) Über Gegenstände, die nicht auf der Tagesordnung stehen, darf nicht verhandelt und beschlossen werden, wenn ein Land widerspricht.</w:t>
      </w:r>
    </w:p>
    <w:p>
      <w:r>
        <w:rPr>
          <w:color w:val="555555"/>
          <w:sz w:val="17"/>
        </w:rPr>
        <w:t xml:space="preserve">Zitiervorschlag: § 23 BRGO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https://recht.nulegal.eu/gesetze/BRGO%202025/23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BRGO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