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22g BRGO 2025 — Unterbrechung der Sitzung</w:t>
      </w:r>
    </w:p>
    <w:p>
      <w:r>
        <w:rPr>
          <w:color w:val="555555"/>
          <w:sz w:val="18"/>
        </w:rPr>
        <w:t xml:space="preserve">Geschäftsordnung des Bundesrates</w:t>
      </w:r>
    </w:p>
    <w:p>
      <w:r>
        <w:rPr>
          <w:color w:val="555555"/>
          <w:sz w:val="18"/>
        </w:rPr>
        <w:t xml:space="preserve">Stand: 29.05.2025 (konsolidierte Textfassung, kein amtliches Inkrafttretensdatum)</w:t>
      </w:r>
    </w:p>
    <w:p>
      <w:r>
        <w:t xml:space="preserve">Wenn im Bundesrat störende Unruhe entsteht, kann die Präsidentin oder der Präsident die Sitzung unterbrechen. Kann sich die Präsidentin oder der Präsident kein Gehör verschaffen, verlässt sie oder er den Präsidentinnen- oder Präsidentenstuhl. Hierdurch wird die Sitzung für eine halbe Stunde unterbrochen.</w:t>
      </w:r>
    </w:p>
    <w:p>
      <w:r>
        <w:rPr>
          <w:color w:val="555555"/>
          <w:sz w:val="17"/>
        </w:rPr>
        <w:t xml:space="preserve">Zitiervorschlag: § 22g BRGO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https://recht.nulegal.eu/gesetze/BRGO%202025/22g</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