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BRGO 2025 — Beteiligung der Präsidentin oder des Präsidenten an den Verhandlungen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Stand: 29.05.2025 (konsolidierte Textfassung, kein amtliches Inkrafttretensdatum)</w:t>
      </w:r>
    </w:p>
    <w:p>
      <w:r>
        <w:t xml:space="preserve">Beabsichtigt die Präsidentin oder der Präsident, sich als Rednerin oder Redner an den Verhandlungen zu beteiligen, so gibt sie oder er für diese Zeit die Leitung der Sitzung ab.</w:t>
      </w:r>
    </w:p>
    <w:p>
      <w:r>
        <w:rPr>
          <w:color w:val="555555"/>
          <w:sz w:val="17"/>
        </w:rPr>
        <w:t xml:space="preserve">Zitiervorschlag: § 21 BRGO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https://recht.nulegal.eu/gesetze/BRGO%202025/21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