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BRGO 2025 — Mitglieder</w:t>
      </w:r>
    </w:p>
    <w:p>
      <w:r>
        <w:rPr>
          <w:color w:val="555555"/>
          <w:sz w:val="18"/>
        </w:rPr>
        <w:t xml:space="preserve">Geschäftsordnung des Bundesrates</w:t>
      </w:r>
    </w:p>
    <w:p>
      <w:r>
        <w:rPr>
          <w:color w:val="555555"/>
          <w:sz w:val="18"/>
        </w:rPr>
        <w:t xml:space="preserve">Stand: 29.05.2025 (konsolidierte Textfassung, kein amtliches Inkrafttretensdatum)</w:t>
      </w:r>
    </w:p>
    <w:p>
      <w:r>
        <w:t xml:space="preserve">Die Regierungen der Länder teilen der Präsidentin oder dem Präsidenten des Bundesrates die Namen der Mitglieder des Bundesrates, den Zeitpunkt ihrer Bestellung als Mitglieder des Bundesrates und der Landesregierungen und den Zeitpunkt des Erlöschens ihrer Mitgliedschaft mit.</w:t>
      </w:r>
    </w:p>
    <w:p>
      <w:r>
        <w:rPr>
          <w:color w:val="555555"/>
          <w:sz w:val="17"/>
        </w:rPr>
        <w:t xml:space="preserve">Zitiervorschlag: § 1 BRGO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https://recht.nulegal.eu/gesetze/BRGO%202025/1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