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BRGO 1966 — Inkrafttreten *)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Historische Fassung: Stand 10.06.2019 bis 29.05.2025. Dies ist nicht die aktuelle Fassung.</w:t>
      </w:r>
    </w:p>
    <w:p>
      <w:r>
        <w:t xml:space="preserve">Diese Geschäftsordnung tritt am 1. Oktober 1966 in Kraft. Gleichzeitig tritt die Geschäftsordnung des Bundesrates vom 31. Juli 1953 (Bundesgesetzbl. II S. 527) außer Kraft. -----</w:t>
      </w:r>
    </w:p>
    <w:p>
      <w:pPr>
        <w:ind w:left="420"/>
      </w:pPr>
      <w:r>
        <w:t xml:space="preserve">*) Diese Vorschrift betrifft das Inkrafttreten der Geschäftsordnung in der damals gültigen Fassung.</w:t>
      </w:r>
    </w:p>
    <w:p>
      <w:r>
        <w:rPr>
          <w:color w:val="555555"/>
          <w:sz w:val="17"/>
        </w:rPr>
        <w:t xml:space="preserve">Zitiervorschlag: § 49 BRGO 1966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https://recht.nulegal.eu/gesetze/BRGO%201966/49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