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BRGO 1966 — Auslegung der Geschäftsordnung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(1) Während einer Sitzung entscheidet der Präsident Meinungsverschiedenheiten über die Auslegung der Geschäftsordnung für diese Sitzung.</w:t>
      </w:r>
    </w:p>
    <w:p>
      <w:r>
        <w:t xml:space="preserve">(2) Im übrigen entscheidet auf Verlangen des Präsidenten oder eines Landes der Bundesrat.</w:t>
      </w:r>
    </w:p>
    <w:p>
      <w:r>
        <w:rPr>
          <w:color w:val="555555"/>
          <w:sz w:val="17"/>
        </w:rPr>
        <w:t xml:space="preserve">Zitiervorschlag: § 47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