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45e BRGO 1966 — Vorbereitung der Sitzungen der Europakammer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Historische Fassung: Stand 10.06.2019 bis 29.05.2025. Dies ist nicht die aktuelle Fassung.</w:t>
      </w:r>
    </w:p>
    <w:p>
      <w:r>
        <w:t xml:space="preserve">(1) Die Sitzungen der Europakammer sollen durch die Ausschüsse vorbereitet werden, soweit dies zeitlich möglich ist.</w:t>
      </w:r>
    </w:p>
    <w:p>
      <w:r>
        <w:t xml:space="preserve">(2) Der Vorsitzende beruft die Europakammer ein, wenn ihr Zusammentreten erforderlich wird. Jedes Land kann die Einberufung der Europakammer zu einer ihr zugewiesenen Vorlage verlangen.</w:t>
      </w:r>
    </w:p>
    <w:p>
      <w:r>
        <w:t xml:space="preserve">(3) Die Einberufungsfrist beträgt eine Woche. Sie kann in Eilfällen so verkürzt werden, wie es der Beratungsstand erfordert. Die Einberufung erfolgt durch Übermittlung der vorläufigen Tagesordnung.</w:t>
      </w:r>
    </w:p>
    <w:p>
      <w:r>
        <w:rPr>
          <w:color w:val="555555"/>
          <w:sz w:val="17"/>
        </w:rPr>
        <w:t xml:space="preserve">Zitiervorschlag: § 45e BRGO 1966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https://recht.nulegal.eu/gesetze/BRGO%201966/45e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