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45d BRGO 1966 — Zuständigkeit der Europakammer</w:t>
      </w:r>
    </w:p>
    <w:p>
      <w:r>
        <w:rPr>
          <w:color w:val="555555"/>
          <w:sz w:val="18"/>
        </w:rPr>
        <w:t xml:space="preserve">Geschäftsordnung des Bundesrates</w:t>
      </w:r>
    </w:p>
    <w:p>
      <w:r>
        <w:rPr>
          <w:color w:val="555555"/>
          <w:sz w:val="18"/>
        </w:rPr>
        <w:t xml:space="preserve">Historische Fassung: Stand 10.06.2019 bis 29.05.2025. Dies ist nicht die aktuelle Fassung.</w:t>
      </w:r>
    </w:p>
    <w:p>
      <w:r>
        <w:t xml:space="preserve">(1) Die Europakammer ist in Eilfällen oder bei zu wahrender Vertraulichkeit nach Zuweisung eines Beratungsgegenstandes zuständig für die Wahrnehmung der Mitwirkungsrechte des Bundesrates in Angelegenheiten der Europäischen Union.</w:t>
      </w:r>
    </w:p>
    <w:p>
      <w:r>
        <w:t xml:space="preserve">(2) Ein Eilfall liegt vor, wenn die Beschlußfassung des Bundesrates im Hinblick auf den Beratungsstand in den Gremien der Europäischen Union keinen Aufschub bis zur nächsten bereits einberufenen Sitzung des Bundesrates duldet.</w:t>
      </w:r>
    </w:p>
    <w:p>
      <w:r>
        <w:t xml:space="preserve">(3) Ein Fall, in dem die Vertraulichkeit zu wahren ist, kann insbesondere vorliegen, wenn</w:t>
      </w:r>
    </w:p>
    <w:p>
      <w:pPr>
        <w:ind w:left="420"/>
      </w:pPr>
      <w:r>
        <w:t xml:space="preserve">1. dies in einschlägigen Vorschriften der Europäischen Union vorgesehen ist;</w:t>
      </w:r>
    </w:p>
    <w:p>
      <w:pPr>
        <w:ind w:left="420"/>
      </w:pPr>
      <w:r>
        <w:t xml:space="preserve">2. die Bundesregierung die vertrauliche Behandlung des Beratungsgegenstandes für erforderlich erklärt;</w:t>
      </w:r>
    </w:p>
    <w:p>
      <w:pPr>
        <w:ind w:left="420"/>
      </w:pPr>
      <w:r>
        <w:t xml:space="preserve">3. ein Land oder ein Ausschuß die vertrauliche Behandlung eines Beratungsgegenstandes anregen.</w:t>
      </w:r>
    </w:p>
    <w:p>
      <w:r>
        <w:t xml:space="preserve">(4) Stellt der Präsident fest, daß die Zuständigkeit der Europakammer gegeben ist, weist er dieser den betreffenden Beratungsgegenstand zu, wenn er nicht den Bundesrat einberuft. Der Präsident kann den Direktor damit beauftragen, im Einvernehmen mit dem Vorsitzenden des Ausschusses für Fragen der Europäischen Union Beratungsgegenstände der Europakammer zuzuweisen.</w:t>
      </w:r>
    </w:p>
    <w:p>
      <w:r>
        <w:t xml:space="preserve">(5) Die Zuweisung eines Beratungsgegenstandes an die Europakammer steht bis zu deren Beschlußfassung der Beratung in den Ausschüssen und der Verhandlung und Beschlußfassung durch den Bundesrat nicht entgegen.</w:t>
      </w:r>
    </w:p>
    <w:p>
      <w:r>
        <w:rPr>
          <w:color w:val="555555"/>
          <w:sz w:val="17"/>
        </w:rPr>
        <w:t xml:space="preserve">Zitiervorschlag: § 45d BRGO 1966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https://recht.nulegal.eu/gesetze/BRGO%201966/45d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45d BRGO 1966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