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45b BRGO 1966 — Europakammer</w:t>
      </w:r>
    </w:p>
    <w:p>
      <w:r>
        <w:rPr>
          <w:color w:val="555555"/>
          <w:sz w:val="18"/>
        </w:rPr>
        <w:t xml:space="preserve">Geschäftsordnung des Bundesrates</w:t>
      </w:r>
    </w:p>
    <w:p>
      <w:r>
        <w:rPr>
          <w:color w:val="555555"/>
          <w:sz w:val="18"/>
        </w:rPr>
        <w:t xml:space="preserve">Historische Fassung: Stand 10.06.2019 bis 29.05.2025. Dies ist nicht die aktuelle Fassung.</w:t>
      </w:r>
    </w:p>
    <w:p>
      <w:r>
        <w:t xml:space="preserve">(1) Der Bundesrat bildet eine Europakammer, deren Beschlüsse als Beschlüsse des Bundesrates gelten.</w:t>
      </w:r>
    </w:p>
    <w:p>
      <w:r>
        <w:t xml:space="preserve">(2) Jedes Land entsendet ein Mitglied oder ein stellvertretendes Mitglied des Bundesrates als Mitglied in die Europakammer. Seine weiteren Mitglieder und stellvertretenden Mitglieder des Bundesrates sind stellvertretende Mitglieder der Europakammer.</w:t>
      </w:r>
    </w:p>
    <w:p>
      <w:r>
        <w:t xml:space="preserve">(3) Die Regierungen der Länder teilen dem Präsidenten den Zeitpunkt der Bestellung und Abberufung des Mitgliedes der Europakammer schriftlich mit. Die Mitteilung wird der Europakammer bekanntgegeben.</w:t>
      </w:r>
    </w:p>
    <w:p>
      <w:r>
        <w:rPr>
          <w:color w:val="555555"/>
          <w:sz w:val="17"/>
        </w:rPr>
        <w:t xml:space="preserve">Zitiervorschlag: § 45b BRGO 1966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https://recht.nulegal.eu/gesetze/BRGO%201966/45b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