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BRGO 1966 — Sitzungsniederschrift</w:t>
      </w:r>
    </w:p>
    <w:p>
      <w:r>
        <w:rPr>
          <w:color w:val="555555"/>
          <w:sz w:val="18"/>
        </w:rPr>
        <w:t xml:space="preserve">Geschäftsordnung des Bundesrates</w:t>
      </w:r>
    </w:p>
    <w:p>
      <w:r>
        <w:rPr>
          <w:color w:val="555555"/>
          <w:sz w:val="18"/>
        </w:rPr>
        <w:t xml:space="preserve">Historische Fassung: Stand 10.06.2019 bis 29.05.2025. Dies ist nicht die aktuelle Fassung.</w:t>
      </w:r>
    </w:p>
    <w:p>
      <w:r>
        <w:t xml:space="preserve">(1) Über jede Sitzung eines Ausschusses fertigt der Sekretär eine Niederschrift. Diese muß mindestens die Namen der Teilnehmer, die Anträge, das Ergebnis der Beratungen und bei Beschlüssen das Stimmverhältnis sowie das Abstimmungsergebnis nach Ländern enthalten. Die Aufschlüsselung des Abstimmungsergebnisses nach Ländern in einer Niederschrift über eine Sitzung eines Unterausschusses kann unterbleiben, wenn der Unterausschuß im Einzelfall entsprechend beschließt.</w:t>
      </w:r>
    </w:p>
    <w:p>
      <w:r>
        <w:t xml:space="preserve">(2) Die Niederschrift ist vertraulich, soweit nicht der Ausschuß gemäß § 37 Abs. 2 Satz 2 die Vertraulichkeit der Verhandlungen aufgehoben hat.</w:t>
      </w:r>
    </w:p>
    <w:p>
      <w:r>
        <w:t xml:space="preserve">(3) Der Wortlaut der von einem Ausschuß gefaßten Beschlüsse und die dazu formulierten Begründungen können der Öffentlichkeit zugänglich gemacht werden, soweit der Ausschuß nichts anderes beschließt.</w:t>
      </w:r>
    </w:p>
    <w:p>
      <w:r>
        <w:rPr>
          <w:color w:val="555555"/>
          <w:sz w:val="17"/>
        </w:rPr>
        <w:t xml:space="preserve">Zitiervorschlag: § 44 BRGO 1966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https://recht.nulegal.eu/gesetze/BRGO%201966/44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