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BRGO 1966 — Teilnahme an den Verhandlungen des Bundestages</w:t>
      </w:r>
    </w:p>
    <w:p>
      <w:r>
        <w:rPr>
          <w:color w:val="555555"/>
          <w:sz w:val="18"/>
        </w:rPr>
        <w:t xml:space="preserve">Geschäftsordnung des Bundesrates</w:t>
      </w:r>
    </w:p>
    <w:p>
      <w:r>
        <w:rPr>
          <w:color w:val="555555"/>
          <w:sz w:val="18"/>
        </w:rPr>
        <w:t xml:space="preserve">Historische Fassung: Stand 10.06.2019 bis 29.05.2025. Dies ist nicht die aktuelle Fassung.</w:t>
      </w:r>
    </w:p>
    <w:p>
      <w:r>
        <w:t xml:space="preserve">Der Bundesrat kann seine Mitglieder beauftragen, seine Beschlüsse im Bundestag und in dessen Ausschüssen zu vertreten. Die Ausschüsse können Vorschläge hierzu machen.</w:t>
      </w:r>
    </w:p>
    <w:p>
      <w:r>
        <w:rPr>
          <w:color w:val="555555"/>
          <w:sz w:val="17"/>
        </w:rPr>
        <w:t xml:space="preserve">Zitiervorschlag: § 33 BRGO 1966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https://recht.nulegal.eu/gesetze/BRGO%201966/33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