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BRGO 1966 — Wirksamwerden der Beschlüsse</w:t>
      </w:r>
    </w:p>
    <w:p>
      <w:r>
        <w:rPr>
          <w:color w:val="555555"/>
          <w:sz w:val="18"/>
        </w:rPr>
        <w:t xml:space="preserve">Geschäftsordnung des Bundesrates</w:t>
      </w:r>
    </w:p>
    <w:p>
      <w:r>
        <w:rPr>
          <w:color w:val="555555"/>
          <w:sz w:val="18"/>
        </w:rPr>
        <w:t xml:space="preserve">Historische Fassung: Stand 10.06.2019 bis 29.05.2025. Dies ist nicht die aktuelle Fassung.</w:t>
      </w:r>
    </w:p>
    <w:p>
      <w:r>
        <w:t xml:space="preserve">Die Beschlüsse des Bundesrates werden mit dem Ende der Sitzung wirksam. Über Gegenstände, deren Behandlung abgeschlossen ist, darf nicht erneut beraten und abgestimmt werden, wenn ein Land widerspricht.</w:t>
      </w:r>
    </w:p>
    <w:p>
      <w:r>
        <w:rPr>
          <w:color w:val="555555"/>
          <w:sz w:val="17"/>
        </w:rPr>
        <w:t xml:space="preserve">Zitiervorschlag: § 32 BRGO 1966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https://recht.nulegal.eu/gesetze/BRGO%201966/32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