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BRGO 1966 — Vertreter des Bundesrates in anderen Organen</w:t>
      </w:r>
    </w:p>
    <w:p>
      <w:r>
        <w:rPr>
          <w:color w:val="555555"/>
          <w:sz w:val="18"/>
        </w:rPr>
        <w:t xml:space="preserve">Geschäftsordnung des Bundesrates</w:t>
      </w:r>
    </w:p>
    <w:p>
      <w:r>
        <w:rPr>
          <w:color w:val="555555"/>
          <w:sz w:val="18"/>
        </w:rPr>
        <w:t xml:space="preserve">Historische Fassung: Stand 10.06.2019 bis 29.05.2025. Dies ist nicht die aktuelle Fassung.</w:t>
      </w:r>
    </w:p>
    <w:p>
      <w:r>
        <w:t xml:space="preserve">Bestellt der Bundesrat Mitglieder von Organen einer juristischen Person des öffentlichen oder des privaten Rechts, von Beiräten einer Dienststelle der Bundesregierung, von Verwaltungsräten oder ähnlichen Einrichtungen, so können der Bundesrat oder seine Ausschüsse verlangen, daß diese Mitglieder über ihre Tätigkeit berichten.</w:t>
      </w:r>
    </w:p>
    <w:p>
      <w:r>
        <w:rPr>
          <w:color w:val="555555"/>
          <w:sz w:val="17"/>
        </w:rPr>
        <w:t xml:space="preserve">Zitiervorschlag: § 13 BRGO 1966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https://recht.nulegal.eu/gesetze/BRGO%201966/13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BRGO 1966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