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BRGO 1966 — Wahl der Vorsitzenden der Ausschüsse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Historische Fassung: Stand 10.06.2019 bis 29.05.2025. Dies ist nicht die aktuelle Fassung.</w:t>
      </w:r>
    </w:p>
    <w:p>
      <w:r>
        <w:t xml:space="preserve">(1) Der Bundesrat wählt für jedes Geschäftsjahr die Vorsitzenden der Ausschüsse aus deren Mitgliedern. Die Ausschüsse sollen vor der Wahl gehört werden.</w:t>
      </w:r>
    </w:p>
    <w:p>
      <w:r>
        <w:t xml:space="preserve">(2) Die Ausschüsse wählen aus ihren Mitgliedern stellvertretende Vorsitzende.</w:t>
      </w:r>
    </w:p>
    <w:p>
      <w:r>
        <w:t xml:space="preserve">(3) Endet das Amt eines Vorsitzenden oder eines stellvertretenden Vorsitzenden vorzeitig, so soll für den Rest seiner Amtszeit ein Nachfolger gewählt werden.</w:t>
      </w:r>
    </w:p>
    <w:p>
      <w:r>
        <w:rPr>
          <w:color w:val="555555"/>
          <w:sz w:val="17"/>
        </w:rPr>
        <w:t xml:space="preserve">Zitiervorschlag: § 12 BRGO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https://recht.nulegal.eu/gesetze/BRGO%201966/12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