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BRAO — Geschäftsstelle und Geschäftsordnung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dem Anwaltsgericht wird eine Geschäftsstelle eingerichtet.</w:t>
      </w:r>
    </w:p>
    <w:p>
      <w:r>
        <w:t xml:space="preserve">(2) Die erforderlichen Bürokräfte, die Räume und die Mittel für den sonstigen sächlichen Bedarf stellt die Rechtsanwaltskammer zur Verfügung.</w:t>
      </w:r>
    </w:p>
    <w:p>
      <w:r>
        <w:t xml:space="preserve">(3) Die Dienstaufsicht über die Geschäftsstelle führt der Vorsitzende des Anwaltsgerichts; im Fall des § 92 Abs. 2 obliegt die Aufsicht dem geschäftsleitenden Vorsitzenden.</w:t>
      </w:r>
    </w:p>
    <w:p>
      <w:r>
        <w:t xml:space="preserve">(4) Der Geschäftsgang bei dem Anwaltsgericht wird durch eine Geschäftsordnung geregelt, die von den Mitgliedern des Anwaltsgerichts beschlossen wird. Sie bedarf der Bestätigung durch die Landesjustizverwaltung.</w:t>
      </w:r>
    </w:p>
    <w:p>
      <w:r>
        <w:rPr>
          <w:color w:val="555555"/>
          <w:sz w:val="17"/>
        </w:rPr>
        <w:t xml:space="preserve">Zitiervorschlag: § 98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https://recht.nulegal.eu/gesetze/BRAO/98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