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BRAO — Bildung des Anwaltsgerichts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Bezirk der Rechtsanwaltskammer wird ein Anwaltsgericht errichtet. Es hat seinen Sitz an demselben Ort wie die Rechtsanwaltskammer.</w:t>
      </w:r>
    </w:p>
    <w:p>
      <w:r>
        <w:t xml:space="preserve">(2) Bei dem Anwaltsgericht werden nach Bedarf mehrere Kammern gebildet. Die Zahl der Kammern bestimmt die Landesjustizverwaltung. Der Vorstand der Rechtsanwaltskammer ist vorher zu hören.</w:t>
      </w:r>
    </w:p>
    <w:p>
      <w:r>
        <w:t xml:space="preserve">(3) Die Aufsicht über das Anwaltsgericht führt die Landesjustizverwaltung.</w:t>
      </w:r>
    </w:p>
    <w:p>
      <w:r>
        <w:rPr>
          <w:color w:val="555555"/>
          <w:sz w:val="17"/>
        </w:rPr>
        <w:t xml:space="preserve">Zitiervorschlag: § 92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