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BRAO — Aufgaben des Präsidenten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Präsident vertritt die Kammer gerichtlich und außergerichtlich.</w:t>
      </w:r>
    </w:p>
    <w:p>
      <w:r>
        <w:t xml:space="preserve">(2) Der Präsident vermittelt den geschäftlichen Verkehr der Kammer und des Vorstandes. Er führt die Beschlüsse des Vorstandes und der Kammer aus.</w:t>
      </w:r>
    </w:p>
    <w:p>
      <w:r>
        <w:t xml:space="preserve">(3) Der Präsident führt in den Sitzungen des Vorstandes und in der Kammerversammlung den Vorsitz.</w:t>
      </w:r>
    </w:p>
    <w:p>
      <w:r>
        <w:t xml:space="preserve">(4) Durch die Geschäftsordnungen des Vorstandes und der Kammer können ihm weitere Aufgaben übertragen werden.</w:t>
      </w:r>
    </w:p>
    <w:p>
      <w:r>
        <w:rPr>
          <w:color w:val="555555"/>
          <w:sz w:val="17"/>
        </w:rPr>
        <w:t xml:space="preserve">Zitiervorschlag: § 80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