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70 BRAO — Sitzungen des Vorstandes</w:t>
      </w:r>
    </w:p>
    <w:p>
      <w:r>
        <w:rPr>
          <w:color w:val="555555"/>
          <w:sz w:val="18"/>
        </w:rPr>
        <w:t xml:space="preserve">Bundesrechtsanwaltsordnung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(1) Der Vorstand wird durch den Präsidenten einberufen.</w:t>
      </w:r>
    </w:p>
    <w:p>
      <w:r>
        <w:t xml:space="preserve">(2) Der Präsident muß eine Sitzung anberaumen, wenn ein Viertel der Mitglieder des Vorstandes es schriftlich beantragen und hierbei den Gegenstand angeben, der behandelt werden soll.</w:t>
      </w:r>
    </w:p>
    <w:p>
      <w:r>
        <w:t xml:space="preserve">(3) Das Nähere regelt die Geschäftsordnung des Vorstandes.</w:t>
      </w:r>
    </w:p>
    <w:p>
      <w:r>
        <w:rPr>
          <w:color w:val="555555"/>
          <w:sz w:val="17"/>
        </w:rPr>
        <w:t xml:space="preserve">Zitiervorschlag: § 70 BRAO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https://recht.nulegal.eu/gesetze/BRAO/70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