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BRAO — Wahlperiode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Vorstandes werden auf vier Jahre gewählt. Die Wiederwahl ist zulässig.</w:t>
      </w:r>
    </w:p>
    <w:p>
      <w:r>
        <w:t xml:space="preserve">(2) Alle zwei Jahre scheidet die Hälfte der Mitglieder aus, bei ungerader Zahl zum ersten Mal die größere Zahl. Die zum ersten Mal ausscheidenden Mitglieder werden durch das Los bestimmt.</w:t>
      </w:r>
    </w:p>
    <w:p>
      <w:r>
        <w:t xml:space="preserve">(3) Wird die Zahl der Mitglieder des Vorstandes erhöht, so ist für die neu eintretenden Mitglieder, die mit dem Ablauf des zweiten Jahres ausscheiden, Absatz 2 Satz 2 entsprechend anzuwenden.</w:t>
      </w:r>
    </w:p>
    <w:p>
      <w:r>
        <w:t xml:space="preserve">(4) Findet die Wahl, die auf Grund der Erhöhung der Zahl der Mitglieder des Vorstandes erforderlich wird, gleichzeitig mit einer Neuwahl statt, so sind beide Wahlen getrennt vorzunehmen.</w:t>
      </w:r>
    </w:p>
    <w:p>
      <w:r>
        <w:rPr>
          <w:color w:val="555555"/>
          <w:sz w:val="17"/>
        </w:rPr>
        <w:t xml:space="preserve">Zitiervorschlag: § 68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