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BRAO — Voraussetzungen der Wählbarkeit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Mitglied des Vorstandes kann nur gewählt werden, wer</w:t>
      </w:r>
    </w:p>
    <w:p>
      <w:pPr>
        <w:ind w:left="420"/>
      </w:pPr>
      <w:r>
        <w:t xml:space="preserve">1. Mitglied der Kammer ist und</w:t>
      </w:r>
    </w:p>
    <w:p>
      <w:pPr>
        <w:ind w:left="420"/>
      </w:pPr>
      <w:r>
        <w:t xml:space="preserve">2. den Beruf eines Rechtsanwalts seit mindestens fünf Jahren ohne Unterbrechung ausübt.</w:t>
      </w:r>
    </w:p>
    <w:p>
      <w:r>
        <w:rPr>
          <w:color w:val="555555"/>
          <w:sz w:val="17"/>
        </w:rPr>
        <w:t xml:space="preserve">Zitiervorschlag: § 65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