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BRAO — Bildung und Zusammensetzung der Rechtsanwaltskammer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Für den Bezirk eines Oberlandesgerichts wird eine Rechtsanwaltskammer gebildet. Sie hat ihren Sitz am Ort des Oberlandesgerichts.</w:t>
      </w:r>
    </w:p>
    <w:p>
      <w:r>
        <w:t xml:space="preserve">(2) Mitglieder der Rechtsanwaltskammer sind</w:t>
      </w:r>
    </w:p>
    <w:p>
      <w:pPr>
        <w:ind w:left="420"/>
      </w:pPr>
      <w:r>
        <w:t xml:space="preserve">1. Personen, die von ihr zur Rechtsanwaltschaft zugelassen oder von ihr aufgenommen wurden,</w:t>
      </w:r>
    </w:p>
    <w:p>
      <w:pPr>
        <w:ind w:left="420"/>
      </w:pPr>
      <w:r>
        <w:t xml:space="preserve">2. Berufsausübungsgesellschaften, die von ihr zugelassen wurden,</w:t>
      </w:r>
    </w:p>
    <w:p>
      <w:pPr>
        <w:ind w:left="420"/>
      </w:pPr>
      <w:r>
        <w:t xml:space="preserve">3. Mitglieder von Geschäftsführungs- und Aufsichtsorganen von Berufsausübungsgesellschaften nach Nummer 2, die nicht schon</w:t>
      </w:r>
    </w:p>
    <w:p>
      <w:pPr>
        <w:ind w:left="780"/>
      </w:pPr>
      <w:r>
        <w:t xml:space="preserve">a) nach Nummer 1 Mitglied einer Rechtsanwaltskammer sind oder</w:t>
      </w:r>
    </w:p>
    <w:p>
      <w:pPr>
        <w:ind w:left="780"/>
      </w:pPr>
      <w:r>
        <w:t xml:space="preserve">b) Mitglied der Patentanwaltskammer oder einer Steuerberaterkammer sind, und</w:t>
      </w:r>
    </w:p>
    <w:p>
      <w:pPr>
        <w:ind w:left="420"/>
      </w:pPr>
      <w:r>
        <w:t xml:space="preserve">4. Mitglieder der Geschäftsleitung der deutschen Zweigniederlassungen von ausländischen Berufsausübungsgesellschaften (§ 207a Absatz 1 Nummer 4), die nicht schon nach Nummer 1 Mitglied einer Rechtsanwaltskammer sind.</w:t>
      </w:r>
    </w:p>
    <w:p>
      <w:r>
        <w:t xml:space="preserve">(3) Die Mitgliedschaft in der Rechtsanwaltskammer erlischt</w:t>
      </w:r>
    </w:p>
    <w:p>
      <w:pPr>
        <w:ind w:left="420"/>
      </w:pPr>
      <w:r>
        <w:t xml:space="preserve">1. in den Fällen des Absatzes 2 Nummer 1, wenn die Voraussetzungen des § 13 oder des § 27 Absatz 3 Satz 3 vorliegen,</w:t>
      </w:r>
    </w:p>
    <w:p>
      <w:pPr>
        <w:ind w:left="420"/>
      </w:pPr>
      <w:r>
        <w:t xml:space="preserve">2. in den Fällen des Absatzes 2 Nummer 2, wenn die Voraussetzungen des § 59h Absatz 1 bis 3 oder des § 59m Absatz 3 in Verbindung mit § 27 Absatz 3 Satz 3 vorliegen,</w:t>
      </w:r>
    </w:p>
    <w:p>
      <w:pPr>
        <w:ind w:left="420"/>
      </w:pPr>
      <w:r>
        <w:t xml:space="preserve">3. in den Fällen des Absatzes 2 Nummer 3, wenn</w:t>
      </w:r>
    </w:p>
    <w:p>
      <w:pPr>
        <w:ind w:left="780"/>
      </w:pPr>
      <w:r>
        <w:t xml:space="preserve">a) bei der Berufsausübungsgesellschaft die Voraussetzungen der Nummer 2 vorliegen,</w:t>
      </w:r>
    </w:p>
    <w:p>
      <w:pPr>
        <w:ind w:left="780"/>
      </w:pPr>
      <w:r>
        <w:t xml:space="preserve">b) gegen das Mitglied des Geschäftsführungs- oder Aufsichtsorgans eine bestandskräftige Entscheidung im Sinne des § 59j Absatz 5 Satz 3 ergangen ist oder</w:t>
      </w:r>
    </w:p>
    <w:p>
      <w:pPr>
        <w:ind w:left="780"/>
      </w:pPr>
      <w:r>
        <w:t xml:space="preserve">c) die Geschäftsführungstätigkeit für die Berufsausübungsgesellschaft oder die Mitgliedschaft im Aufsichtsorgan beendet ist.</w:t>
      </w:r>
    </w:p>
    <w:p>
      <w:r>
        <w:rPr>
          <w:color w:val="555555"/>
          <w:sz w:val="17"/>
        </w:rPr>
        <w:t xml:space="preserve">Zitiervorschlag: § 60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