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59g BRAO — Zulassungsverfahren; Anzeigepflicht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Der Antrag auf Zulassung muss folgende Angaben enthalten:</w:t>
      </w:r>
    </w:p>
    <w:p>
      <w:pPr>
        <w:ind w:left="420"/>
      </w:pPr>
      <w:r>
        <w:t xml:space="preserve">1. Rechtsform, Name, Sitz und Gegenstand der Berufsausübungsgesellschaft,</w:t>
      </w:r>
    </w:p>
    <w:p>
      <w:pPr>
        <w:ind w:left="420"/>
      </w:pPr>
      <w:r>
        <w:t xml:space="preserve">2. die Geschäftsanschriften der Niederlassungen der Berufsausübungsgesellschaft sowie</w:t>
      </w:r>
    </w:p>
    <w:p>
      <w:pPr>
        <w:ind w:left="420"/>
      </w:pPr>
      <w:r>
        <w:t xml:space="preserve">3. Name und Beruf der Gesellschafter, der Mitglieder der Geschäftsführungs- und Aufsichtsorgane sowie aller mittelbar beteiligten Personen; sofern Gesellschafter eine zugelassene Berufsausübungsgesellschaft ist, müssen Name und Beruf der an ihr mittelbar beteiligten Personen nicht angegeben werden.</w:t>
      </w:r>
    </w:p>
    <w:p>
      <w:r>
        <w:t xml:space="preserve">Die zuständige Rechtsanwaltskammer kann zur Prüfung der Voraussetzungen des § 59f Absatz 2 die Vorlage geeigneter Nachweise einschließlich des Gesellschaftsvertrags oder der Satzung verlangen. § 57 gilt entsprechend.</w:t>
      </w:r>
    </w:p>
    <w:p>
      <w:r>
        <w:t xml:space="preserve">(2) Die Entscheidung über den Antrag auf Zulassung kann ausgesetzt werden, wenn gegen einen Gesellschafter oder ein Mitglied eines Geschäftsführungs- oder Aufsichtsorgans ein auf Rücknahme oder Widerruf seiner Zulassung oder Bestellung gerichtetes Verfahren betrieben wird oder ein vorläufiges Berufs- oder Vertretungsverbot erlassen worden ist.</w:t>
      </w:r>
    </w:p>
    <w:p>
      <w:r>
        <w:t xml:space="preserve">(3) Die Zulassung wird wirksam mit der Aushändigung einer von der Rechtsanwaltskammer ausgestellten Urkunde.</w:t>
      </w:r>
    </w:p>
    <w:p>
      <w:r>
        <w:t xml:space="preserve">(4) Die zugelassene Berufsausübungsgesellschaft hat der Rechtsanwaltskammer jede Änderung der nach Absatz 1 Satz 1 anzugebenden Verhältnisse unverzüglich anzuzeigen. Absatz 1 Satz 2 und 3 gilt entsprechend.</w:t>
      </w:r>
    </w:p>
    <w:p>
      <w:r>
        <w:rPr>
          <w:color w:val="555555"/>
          <w:sz w:val="17"/>
        </w:rPr>
        <w:t xml:space="preserve">Zitiervorschlag: § 59g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