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59f BRAO — Zulassung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(1) Berufsausübungsgesellschaften bedürfen der Zulassung durch die Rechtsanwaltskammer. Keiner Zulassung nach Satz 1 bedürfen</w:t>
      </w:r>
    </w:p>
    <w:p>
      <w:pPr>
        <w:ind w:left="420"/>
      </w:pPr>
      <w:r>
        <w:t xml:space="preserve">1. Personengesellschaften, bei denen keine Beschränkung der Haftung der natürlichen Personen vorliegt und denen ausschließlich Rechtsanwälte oder Angehörige eines in § 59c Absatz 1 Satz 1 Nummer 1 genannten Berufs als Gesellschafter und als Mitglieder der Geschäftsführungs- und Aufsichtsorgane angehören, und</w:t>
      </w:r>
    </w:p>
    <w:p>
      <w:pPr>
        <w:ind w:left="420"/>
      </w:pPr>
      <w:r>
        <w:t xml:space="preserve">2. Berufsausübungsgesellschaften, die als Personengesellschaften von</w:t>
      </w:r>
    </w:p>
    <w:p>
      <w:pPr>
        <w:ind w:left="780"/>
      </w:pPr>
      <w:r>
        <w:t xml:space="preserve">a) mehreren zugelassenen Berufsausübungsgesellschaften nach diesem Gesetz oder</w:t>
      </w:r>
    </w:p>
    <w:p>
      <w:pPr>
        <w:ind w:left="780"/>
      </w:pPr>
      <w:r>
        <w:t xml:space="preserve">b) einer oder mehreren zugelassenen Berufsausübungsgesellschaften nach diesem Gesetz und einem oder mehreren Rechtsanwälten</w:t>
      </w:r>
    </w:p>
    <w:p>
      <w:pPr>
        <w:ind w:left="420"/>
      </w:pPr>
      <w:r>
        <w:t xml:space="preserve">für die Bearbeitung eines einzelnen Mandats gegründet wurden (Mandatsgesellschaft).</w:t>
      </w:r>
    </w:p>
    <w:p>
      <w:r>
        <w:t xml:space="preserve">Die Gründung einer Mandatsgesellschaft ist durch die an ihr beteiligten Berufsausübungsgesellschaften und Rechtsanwälte denjenigen Rechtsanwaltskammern anzuzeigen, bei denen die beteiligten Berufsausübungsgesellschaften und Rechtsanwälte zugelassen sind. Unberührt von Satz 2 bleibt der freiwillige Antrag auf eine Zulassung.</w:t>
      </w:r>
    </w:p>
    <w:p>
      <w:r>
        <w:t xml:space="preserve">(2) Die Zulassung ist zu erteilen, wenn</w:t>
      </w:r>
    </w:p>
    <w:p>
      <w:pPr>
        <w:ind w:left="420"/>
      </w:pPr>
      <w:r>
        <w:t xml:space="preserve">1. die Berufsausübungsgesellschaft, ihre Gesellschafter und die Mitglieder der Geschäftsführungs- und Aufsichtsorgane die Voraussetzungen der §§ 59b, 59c, des § 59d Absatz 5, der §§ 59i und 59j erfüllen,</w:t>
      </w:r>
    </w:p>
    <w:p>
      <w:pPr>
        <w:ind w:left="420"/>
      </w:pPr>
      <w:r>
        <w:t xml:space="preserve">2. die Berufsausübungsgesellschaft sich nicht in Vermögensverfall befindet und</w:t>
      </w:r>
    </w:p>
    <w:p>
      <w:pPr>
        <w:ind w:left="420"/>
      </w:pPr>
      <w:r>
        <w:t xml:space="preserve">3. der Abschluss der Berufshaftpflichtversicherung nachgewiesen ist oder eine vorläufige Deckungszusage vorliegt.</w:t>
      </w:r>
    </w:p>
    <w:p>
      <w:r>
        <w:t xml:space="preserve">Ein Vermögensverfall nach Satz 1 Nummer 2 wird vermutet, wenn ein Insolvenzverfahren über das Vermögen der Berufsausübungsgesellschaft eröffnet ist oder die Berufsausübungsgesellschaft in das Schuldnerverzeichnis (§ 882b der Zivilprozessordnung) eingetragen ist.</w:t>
      </w:r>
    </w:p>
    <w:p>
      <w:r>
        <w:t xml:space="preserve">(3) Mit der Zulassung wird die Berufsausübungsgesellschaft Mitglied der zulassenden Rechtsanwaltskammer.</w:t>
      </w:r>
    </w:p>
    <w:p>
      <w:r>
        <w:t xml:space="preserve">(4) Die Rechtsanwaltskammer teilt dem Berufshaftpflichtversicherer, der in der Berufshaftpflichtversicherung oder der vorläufigen Deckungszusage angegeben ist, die Zulassung mit.</w:t>
      </w:r>
    </w:p>
    <w:p>
      <w:r>
        <w:rPr>
          <w:color w:val="555555"/>
          <w:sz w:val="17"/>
        </w:rPr>
        <w:t xml:space="preserve">Zitiervorschlag: § 59f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https://recht.nulegal.eu/gesetze/BRAO/59f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