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49a BRAO — Pflicht zur Übernahme der Beratungshilfe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Rechtsanwalt ist verpflichtet, die in dem Beratungshilfegesetz vorgesehene Beratungshilfe zu übernehmen. Er kann die Beratungshilfe im Einzelfall aus wichtigem Grund ablehnen.</w:t>
      </w:r>
    </w:p>
    <w:p>
      <w:r>
        <w:t xml:space="preserve">(2) Der Rechtsanwalt ist verpflichtet, bei Einrichtungen der Rechtsanwaltschaft für die Beratung von Rechtsuchenden mit geringem Einkommen mitzuwirken. Er kann die Mitwirkung im Einzelfall aus wichtigem Grund ablehnen.</w:t>
      </w:r>
    </w:p>
    <w:p>
      <w:r>
        <w:rPr>
          <w:color w:val="555555"/>
          <w:sz w:val="17"/>
        </w:rPr>
        <w:t xml:space="preserve">Zitiervorschlag: § 49a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