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BRAO — Pflichtverteidigung und Beistandsleistung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Rechtsanwalt muss eine Verteidigung oder Beistandsleistung übernehmen, wenn er nach den Vorschriften der Strafprozessordnung, des Gesetzes über Ordnungswidrigkeiten, des Gesetzes über die internationale Rechtshilfe in Strafsachen oder des IStGH-Gesetzes zum Verteidiger oder Beistand bestellt ist.</w:t>
      </w:r>
    </w:p>
    <w:p>
      <w:r>
        <w:t xml:space="preserve">(2) § 48 Abs. 2 ist entsprechend anzuwenden.</w:t>
      </w:r>
    </w:p>
    <w:p>
      <w:r>
        <w:rPr>
          <w:color w:val="555555"/>
          <w:sz w:val="17"/>
        </w:rPr>
        <w:t xml:space="preserve">Zitiervorschlag: § 49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