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43f BRAO — Kenntnisse im Berufsrecht</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Der Rechtsanwalt hat innerhalb des ersten Jahres nach seiner erstmaligen Zulassung zur Rechtsanwaltschaft an einer Lehrveranstaltung über das rechtsanwaltliche Berufsrecht teilzunehmen. Die Lehrveranstaltung muss mindestens zehn Zeitstunden dauern und die wesentlichen Bereiche des anwaltlichen Berufsrechts umfassen.</w:t>
      </w:r>
    </w:p>
    <w:p>
      <w:r>
        <w:t xml:space="preserve">(2) Die Pflicht nach Absatz 1 Satz 1 besteht nicht, wenn der Rechtsanwalt vor dem 1. August 2022 erstmalig zugelassen wurde oder wenn er nachweist, dass er innerhalb von sieben Jahren vor seiner erstmaligen Zulassung zur Rechtsanwaltschaft an einer Lehrveranstaltung nach Absatz 1 teilgenommen hat.</w:t>
      </w:r>
    </w:p>
    <w:p>
      <w:r>
        <w:rPr>
          <w:color w:val="555555"/>
          <w:sz w:val="17"/>
        </w:rPr>
        <w:t xml:space="preserve">Zitiervorschlag: § 43f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https://recht.nulegal.eu/gesetze/BRAO/43f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