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BRAO — Zugang zum Beruf des Rechtsanwalts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Rechtsanwaltschaft kann nur zugelassen werden, wer</w:t>
      </w:r>
    </w:p>
    <w:p>
      <w:pPr>
        <w:ind w:left="420"/>
      </w:pPr>
      <w:r>
        <w:t xml:space="preserve">1. die Befähigung zum Richteramt nach dem Deutschen Richtergesetz erlangt hat,</w:t>
      </w:r>
    </w:p>
    <w:p>
      <w:pPr>
        <w:ind w:left="420"/>
      </w:pPr>
      <w:r>
        <w:t xml:space="preserve">2. die Eingliederungsvoraussetzungen nach Teil 3 des Gesetzes über die Tätigkeit europäischer Rechtsanwälte in Deutschland erfüllt oder</w:t>
      </w:r>
    </w:p>
    <w:p>
      <w:pPr>
        <w:ind w:left="420"/>
      </w:pPr>
      <w:r>
        <w:t xml:space="preserve">3. über eine Bescheinigung nach § 16a Absatz 5 des Gesetzes über die Tätigkeit europäischer Rechtsanwälte in Deutschland verfügt.</w:t>
      </w:r>
    </w:p>
    <w:p>
      <w:r>
        <w:t xml:space="preserve">Das Berufsqualifikationsfeststellungsgesetz ist nicht anzuwenden.</w:t>
      </w:r>
    </w:p>
    <w:p>
      <w:r>
        <w:rPr>
          <w:color w:val="555555"/>
          <w:sz w:val="17"/>
        </w:rPr>
        <w:t xml:space="preserve">Zitiervorschlag: § 4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