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31d BRAO — Verordnungsermächtigung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Das Bundesministerium der Justiz und für Verbraucherschutz regelt durch Rechtsverordnung mit Zustimmung des Bundesrates die Einzelheiten</w:t>
      </w:r>
    </w:p>
    <w:p>
      <w:pPr>
        <w:ind w:left="420"/>
      </w:pPr>
      <w:r>
        <w:t xml:space="preserve">1. der Datenerhebung für die elektronischen Verzeichnisse der Rechtsanwaltskammern, der Führung dieser Verzeichnisse und der Einsichtnahme in sie,</w:t>
      </w:r>
    </w:p>
    <w:p>
      <w:pPr>
        <w:ind w:left="420"/>
      </w:pPr>
      <w:r>
        <w:t xml:space="preserve">2. der Datenerhebung für das Gesamtverzeichnis, der Führung des Gesamtverzeichnisses und der Einsichtnahme in das Gesamtverzeichnis,</w:t>
      </w:r>
    </w:p>
    <w:p>
      <w:pPr>
        <w:ind w:left="420"/>
      </w:pPr>
      <w:r>
        <w:t xml:space="preserve">3. der besonderen elektronischen Anwaltspostfächer, insbesondere Einzelheiten</w:t>
      </w:r>
    </w:p>
    <w:p>
      <w:pPr>
        <w:ind w:left="780"/>
      </w:pPr>
      <w:r>
        <w:t xml:space="preserve">a) ihrer Einrichtung und der hierzu erforderlichen Datenübermittlung,</w:t>
      </w:r>
    </w:p>
    <w:p>
      <w:pPr>
        <w:ind w:left="780"/>
      </w:pPr>
      <w:r>
        <w:t xml:space="preserve">b) ihrer technischen Ausgestaltung einschließlich ihrer Barrierefreiheit,</w:t>
      </w:r>
    </w:p>
    <w:p>
      <w:pPr>
        <w:ind w:left="780"/>
      </w:pPr>
      <w:r>
        <w:t xml:space="preserve">c) ihrer Führung,</w:t>
      </w:r>
    </w:p>
    <w:p>
      <w:pPr>
        <w:ind w:left="780"/>
      </w:pPr>
      <w:r>
        <w:t xml:space="preserve">d) der Zugangsberechtigung und der Nutzung,</w:t>
      </w:r>
    </w:p>
    <w:p>
      <w:pPr>
        <w:ind w:left="780"/>
      </w:pPr>
      <w:r>
        <w:t xml:space="preserve">e) des Löschens von Nachrichten und</w:t>
      </w:r>
    </w:p>
    <w:p>
      <w:pPr>
        <w:ind w:left="780"/>
      </w:pPr>
      <w:r>
        <w:t xml:space="preserve">f) ihrer Löschung,</w:t>
      </w:r>
    </w:p>
    <w:p>
      <w:pPr>
        <w:ind w:left="420"/>
      </w:pPr>
      <w:r>
        <w:t xml:space="preserve">4. des Abrufs des Gesamtverzeichnisses über das Europäische Rechtsanwaltsverzeichnis.</w:t>
      </w:r>
    </w:p>
    <w:p>
      <w:r>
        <w:rPr>
          <w:color w:val="555555"/>
          <w:sz w:val="17"/>
        </w:rPr>
        <w:t xml:space="preserve">Zitiervorschlag: § 31d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https://recht.nulegal.eu/gesetze/BRAO/31d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