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31b BRAO — Besonderes elektronisches Anwaltspostfach für Berufsausübungsgesellschaften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Bundesrechtsanwaltskammer richtet für jede im Gesamtverzeichnis eingetragene Berufsausübungsgesellschaft ein besonderes elektronisches Anwaltspostfach empfangsbereit ein.</w:t>
      </w:r>
    </w:p>
    <w:p>
      <w:r>
        <w:t xml:space="preserve">(2) Die Rechtsanwaltskammer übermittelt der Bundesrechtsanwaltskammer zum Zweck der Einrichtung des besonderen elektronischen Anwaltspostfachs den Namen oder die Firma, die Rechtsform und eine zustellfähige Anschrift der Berufsausübungsgesellschaft.</w:t>
      </w:r>
    </w:p>
    <w:p>
      <w:r>
        <w:t xml:space="preserve">(3) Die Bundesrechtsanwaltskammer hebt die Zugangsberechtigung zu einem nach Absatz 1 eingerichteten besonderen elektronischen Anwaltspostfach auf, wenn die Zulassung als Berufsausübungsgesellschaft aus einem anderen Grund als dem Wechsel der Rechtsanwaltskammer erlischt.</w:t>
      </w:r>
    </w:p>
    <w:p>
      <w:r>
        <w:t xml:space="preserve">(4) Die Bundesrechtsanwaltskammer richtet für eine im Gesamtverzeichnis eingetragene Zweigstelle einer Berufsausübungsgesellschaft auf deren Antrag ein weiteres besonderes Anwaltspostfach empfangsbereit ein. Der Antrag nach Satz 1 ist bei der Rechtsanwaltskammer zu stellen, bei der die Berufsausübungsgesellschaft zugelassen ist oder zugelassen werden soll. Die Rechtsanwaltskammer übermittelt der Bundesrechtsanwaltskammer den Namen und die Anschrift der Zweigstelle, für die ein weiteres elektronisches Anwaltspostfach eingerichtet werden soll. Die Bundesrechtsanwaltskammer hebt die Zugangsberechtigung zu einem nach Satz 1 eingerichteten weiteren besonderen elektronischen Anwaltspostfach auf, wenn die Berufsausübungsgesellschaft gegenüber der für sie zuständigen Rechtsanwaltskammer erklärt, kein weiteres besonders Anwaltspostfach für die Zweigstelle mehr zu wünschen, oder wenn die Zweigstelle aufgegeben wird; im Übrigen gilt Absatz 3 entsprechend.</w:t>
      </w:r>
    </w:p>
    <w:p>
      <w:r>
        <w:t xml:space="preserve">(5) Im Übrigen gelten für die nach den Absätzen 1 und 4 eingerichteten besonderen elektronischen Anwaltspostfächer § 31a Absatz 1 Satz 2, Absatz 2 Satz 3, Absatz 3 und 4 Satz 2 sowie Absatz 6 und 7 entsprechend.</w:t>
      </w:r>
    </w:p>
    <w:p>
      <w:r>
        <w:rPr>
          <w:color w:val="555555"/>
          <w:sz w:val="17"/>
        </w:rPr>
        <w:t xml:space="preserve">Zitiervorschlag: § 31b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https://recht.nulegal.eu/gesetze/BRAO/31b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