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BRAO — Befreiung von der Kanzleipflicht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Interesse der Rechtspflege oder zur Vermeidung von Härten kann die Rechtsanwaltskammer einen Rechtsanwalt von der Pflicht des § 27 Abs. 1 befreien.</w:t>
      </w:r>
    </w:p>
    <w:p>
      <w:r>
        <w:t xml:space="preserve">(2) Die Befreiung kann widerrufen werden, wenn es im Interesse der Rechtspflege erforderlich ist.</w:t>
      </w:r>
    </w:p>
    <w:p>
      <w:r>
        <w:t xml:space="preserve">(3) (weggefallen)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29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