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211 BRAO — Befreiung von der Voraussetzung der Befähigung zum Richteramt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Befähigung zur anwaltlichen Tätigkeit besitzen auch Personen, die bis zum 9. September 1996 die fachlichen Voraussetzungen für die Zulassung zur Rechtsanwaltschaft nach § 4 des Rechtsanwaltsgesetzes vom 13. September 1990 (GBl. I Nr. 61 S. 1504) erfüllt haben.</w:t>
      </w:r>
    </w:p>
    <w:p>
      <w:r>
        <w:t xml:space="preserve">(2) Rechtsanwälte, die schon nach dem Rechtsanwaltsgesetz vom 13. September 1990 zugelassen waren oder die auf Grundlage des Absatzes 1 zugelassen sind, erfüllen die Voraussetzung der Befähigung zum Richteramt gemäß § 93 Abs. 1 Satz 3 und § 101 Abs. 1 Satz 2.</w:t>
      </w:r>
    </w:p>
    <w:p>
      <w:r>
        <w:rPr>
          <w:color w:val="555555"/>
          <w:sz w:val="17"/>
        </w:rPr>
        <w:t xml:space="preserve">Zitiervorschlag: § 211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https://recht.nulegal.eu/gesetze/BRAO/211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