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210 BRAO — Bestehenbleiben von Rechtsanwaltskammern</w:t>
      </w:r>
    </w:p>
    <w:p>
      <w:r>
        <w:rPr>
          <w:color w:val="555555"/>
          <w:sz w:val="18"/>
        </w:rPr>
        <w:t xml:space="preserve">Bundesrechtsanwaltsordnung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Am 1. September 2009 bestehende Rechtsanwaltskammern, die ihren Sitz nicht am Ort eines Oberlandesgerichts haben, bleiben bestehen.</w:t>
      </w:r>
    </w:p>
    <w:p>
      <w:r>
        <w:rPr>
          <w:color w:val="555555"/>
          <w:sz w:val="17"/>
        </w:rPr>
        <w:t xml:space="preserve">Zitiervorschlag: § 210 BRAO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https://recht.nulegal.eu/gesetze/BRAO/210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