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BRAO — Beitreibung der Kosten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Kosten, die in dem Verfahren vor dem Anwaltsgericht entstanden sind, werden auf Grund des Festsetzungsbeschlusses (§ 199) entsprechend § 204 Abs. 3 beigetrieben.</w:t>
      </w:r>
    </w:p>
    <w:p>
      <w:r>
        <w:t xml:space="preserve">(2) Die Kosten, die vor dem Anwaltsgerichtshof oder dem Bundesgerichtshof entstanden sind, werden nach den Vorschriften eingezogen, die für die Beitreibung der Gerichtskosten gelten. Die vor dem Anwaltsgerichtshof entstandenen Kosten hat die für das Oberlandesgericht zuständige Vollstreckungsbehörde beizutreiben, bei dem der Anwaltsgerichtshof errichtet ist.</w:t>
      </w:r>
    </w:p>
    <w:p>
      <w:r>
        <w:t xml:space="preserve">(3) § 204 Abs. 4 ist entsprechend anzuwenden.</w:t>
      </w:r>
    </w:p>
    <w:p>
      <w:r>
        <w:rPr>
          <w:color w:val="555555"/>
          <w:sz w:val="17"/>
        </w:rPr>
        <w:t xml:space="preserve">Zitiervorschlag: § 205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