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BRAO — Haftung der Rechtsanwaltskammer</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Auslagen, die weder dem Mitglied der Rechtsanwaltskammer noch einem Dritten auferlegt noch von dem Mitglied eingezogen werden können, fallen der Rechtsanwaltskammer zur Last, welcher das Mitglied angehört.</w:t>
      </w:r>
    </w:p>
    <w:p>
      <w:r>
        <w:t xml:space="preserve">(2) In dem Verfahren vor dem Anwaltsgericht haftet die Rechtsanwaltskammer den Zeugen und Sachverständigen für die ihnen zustehende Entschädigung oder Vergütung in dem gleichen Umfang, in dem die Haftung der Staatskasse nach der Strafprozeßordnung begründet ist. Bei weiterer Entfernung des Aufenthaltsorts der geladenen Personen ist ihnen auf Antrag ein Vorschuß zu bewilligen.</w:t>
      </w:r>
    </w:p>
    <w:p>
      <w:r>
        <w:rPr>
          <w:color w:val="555555"/>
          <w:sz w:val="17"/>
        </w:rPr>
        <w:t xml:space="preserve">Zitiervorschlag: § 198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