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196 BRAO — Kosten bei Anträgen auf Einleitung des anwaltsgerichtlichen Verfahrens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Einem Mitglied der Rechtsanwaltskammer, das einen Antrag auf gerichtliche Entscheidung über die Entschließung der Staatsanwaltschaft (§ 123 Abs. 2) zurücknimmt, sind die durch dieses Verfahren entstandenen Kosten aufzuerlegen.</w:t>
      </w:r>
    </w:p>
    <w:p>
      <w:r>
        <w:t xml:space="preserve">(2) Wird ein Antrag des Vorstandes der Rechtsanwaltskammer auf gerichtliche Entscheidung in den Fällen des § 122 Absatz 2, des § 150a oder des § 161a Abs. 2 verworfen, so sind die durch das Verfahren über den Antrag veranlaßten Kosten der Rechtsanwaltskammer aufzuerlegen.</w:t>
      </w:r>
    </w:p>
    <w:p>
      <w:r>
        <w:rPr>
          <w:color w:val="555555"/>
          <w:sz w:val="17"/>
        </w:rPr>
        <w:t xml:space="preserve">Zitiervorschlag: § 196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