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 BRAO — Gerichtskosten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23.01.2024 (konsolidierte Textfassung, kein amtliches Inkrafttretensdatum)</w:t>
      </w:r>
    </w:p>
    <w:p>
      <w:r>
        <w:t xml:space="preserve">In verwaltungsrechtlichen Anwaltssachen werden Gebühren nach dem Gebührenverzeichnis der Anlage 2 zu diesem Gesetz erhoben. Im Übrigen sind die für Kosten in Verfahren vor den Gerichten der Verwaltungsgerichtsbarkeit geltenden Vorschriften des Gerichtskostengesetzes entsprechend anzuwenden, soweit in diesem Abschnitt nichts anderes bestimmt ist.</w:t>
      </w:r>
    </w:p>
    <w:p>
      <w:r>
        <w:rPr>
          <w:color w:val="555555"/>
          <w:sz w:val="17"/>
        </w:rPr>
        <w:t xml:space="preserve">Zitiervorschlag: § 193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