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191d BRAO — Leitung der Versammlung und Beschlussfassung</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Den Vorsitz der Satzungsversammlung führt der Präsident der Bundesrechtsanwaltskammer. Der Vorsitzende bestimmt den Schriftführer aus der Mitte der Satzungsversammlung.</w:t>
      </w:r>
    </w:p>
    <w:p>
      <w:r>
        <w:t xml:space="preserve">(2) Die Satzungsversammlung ist beschlußfähig, wenn drei Fünftel ihrer stimmberechtigten Mitglieder anwesend sind.</w:t>
      </w:r>
    </w:p>
    <w:p>
      <w:r>
        <w:t xml:space="preserve">(3) Die Beschlüsse zur Berufsordnung werden mit der Mehrheit aller stimmberechtigten Mitglieder gefaßt, sonstige Beschlüsse mit der Mehrheit der anwesenden stimmberechtigten Mitglieder. Jedes Mitglied hat eine Stimme, ist an Weisungen nicht gebunden und kann seine Stimme nur persönlich abgeben. Eine Vertretung findet nicht statt.</w:t>
      </w:r>
    </w:p>
    <w:p>
      <w:r>
        <w:t xml:space="preserve">(4) Der Wortlaut der von der Satzungsversammlung gefaßten Beschlüsse ist in einer Niederschrift festzuhalten, die vom Vorsitzenden und vom Schriftführer zu unterzeichnen und bei der Geschäftsstelle der Bundesrechtsanwaltskammer zu verwahren ist.</w:t>
      </w:r>
    </w:p>
    <w:p>
      <w:r>
        <w:t xml:space="preserve">(5) (weggefallen)</w:t>
      </w:r>
    </w:p>
    <w:p>
      <w:r>
        <w:rPr>
          <w:color w:val="555555"/>
          <w:sz w:val="17"/>
        </w:rPr>
        <w:t xml:space="preserve">Zitiervorschlag: § 191d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https://recht.nulegal.eu/gesetze/BRAO/191d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