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191b BRAO — Wahl der stimmberechtigten Mitglieder der Satzungsversammlung</w:t>
      </w:r>
    </w:p>
    <w:p>
      <w:r>
        <w:rPr>
          <w:color w:val="555555"/>
          <w:sz w:val="18"/>
        </w:rPr>
        <w:t xml:space="preserve">Bundesrechtsanwaltsordnung</w:t>
      </w:r>
    </w:p>
    <w:p>
      <w:r>
        <w:rPr>
          <w:color w:val="555555"/>
          <w:sz w:val="18"/>
        </w:rPr>
        <w:t xml:space="preserve">Stand: 01.08.2022 (konsolidierte Textfassung, kein amtliches Inkrafttretensdatum)</w:t>
      </w:r>
    </w:p>
    <w:p>
      <w:r>
        <w:t xml:space="preserve">(1) Die Zahl der stimmberechtigten Mitglieder der Satzungsversammlung bemißt sich nach der Zahl der Mitglieder der Rechtsanwaltskammern. Es sind zu wählen für je angefangene 2 000 Kammermitglieder ein Mitglied der Satzungsversammlung. Maßgebend ist die Zahl der Kammermitglieder am 1. Januar des Jahres, in dem die Wahl erfolgt. Berufsausübungsgesellschaften bleiben bei der Bestimmung der Anzahl der Kammermitglieder nach Satz 2 unberücksichtigt.</w:t>
      </w:r>
    </w:p>
    <w:p>
      <w:r>
        <w:t xml:space="preserve">(2) Die stimmberechtigten Mitglieder der Satzungsversammlung werden von den Mitgliedern der Rechtsanwaltskammern aus dem Kreis der vorgeschlagenen Mitglieder in geheimer und unmittelbarer Wahl durch Briefwahl gewählt. Die Wahl kann auch als elektronische Wahl durchgeführt werden. Die Wahlvorschläge müssen von mindestens zehn Kammermitgliedern unterzeichnet sein; Wahlvorschläge bezüglich der Mitglieder der Rechtsanwaltskammer bei dem Bundesgerichtshof von mindestens drei Kammermitgliedern. Gewählt sind die Bewerberinnen oder Bewerber, die die meisten Stimmen auf sich vereinigen.</w:t>
      </w:r>
    </w:p>
    <w:p>
      <w:r>
        <w:t xml:space="preserve">(3) Die §§ 65 bis 68 Absatz 1, § 69 Absatz 1, 2, 4 und 5 sowie die §§ 75 und 76 Absatz 1 und 2 gelten entsprechend. Scheidet ein stimmberechtigtes Mitglied der Satzungsversammlung aus, so tritt das nicht gewählte Kammermitglied mit der nächsthöheren Stimmenzahl in die Satzungsversammlung ein.</w:t>
      </w:r>
    </w:p>
    <w:p>
      <w:r>
        <w:rPr>
          <w:color w:val="555555"/>
          <w:sz w:val="17"/>
        </w:rPr>
        <w:t xml:space="preserve">Zitiervorschlag: § 191b BRAO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https://recht.nulegal.eu/gesetze/BRAO/191b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