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191a BRAO — Einrichtung und Aufgabe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Bei der Bundesrechtsanwaltskammer wird eine Satzungsversammlung eingerichtet.</w:t>
      </w:r>
    </w:p>
    <w:p>
      <w:r>
        <w:t xml:space="preserve">(2) Die Satzungsversammlung erläßt als Satzung eine Berufsordnung für die Ausübung des Rechtsanwaltsberufes unter Berücksichtigung der beruflichen Pflichten und nach Maßgabe des § 59a.</w:t>
      </w:r>
    </w:p>
    <w:p>
      <w:r>
        <w:t xml:space="preserve">(3) Die Satzungsversammlung gibt sich eine Geschäftsordnung.</w:t>
      </w:r>
    </w:p>
    <w:p>
      <w:r>
        <w:t xml:space="preserve">(4) Der Satzungsversammlung gehören an:</w:t>
      </w:r>
    </w:p>
    <w:p>
      <w:pPr>
        <w:ind w:left="420"/>
      </w:pPr>
      <w:r>
        <w:t xml:space="preserve">1. ohne Stimmrecht die Mitglieder des Präsidiums der Bundesrechtsanwaltskammer und die Präsidenten der Rechtsanwaltskammern;</w:t>
      </w:r>
    </w:p>
    <w:p>
      <w:pPr>
        <w:ind w:left="420"/>
      </w:pPr>
      <w:r>
        <w:t xml:space="preserve">2. mit Stimmrecht die nach § 191b gewählten Mitglieder.</w:t>
      </w:r>
    </w:p>
    <w:p>
      <w:r>
        <w:rPr>
          <w:color w:val="555555"/>
          <w:sz w:val="17"/>
        </w:rPr>
        <w:t xml:space="preserve">Zitiervorschlag: § 191a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https://recht.nulegal.eu/gesetze/BRAO/191a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