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186 BRAO — Aufgaben des Schatzmeisters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Schatzmeister verwaltet das Vermögen der Bundesrechtsanwaltskammer nach den Weisungen des Präsidiums. Er ist berechtigt, Geld in Empfang zu nehmen.</w:t>
      </w:r>
    </w:p>
    <w:p>
      <w:r>
        <w:t xml:space="preserve">(2) Über die Einnahmen und Ausgaben sowie über die Verwaltung des Vermögens hat er jährlich der Hauptversammlung Rechnung zu legen.</w:t>
      </w:r>
    </w:p>
    <w:p>
      <w:r>
        <w:rPr>
          <w:color w:val="555555"/>
          <w:sz w:val="17"/>
        </w:rPr>
        <w:t xml:space="preserve">Zitiervorschlag: § 186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