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180 BRAO — Wahlen zum Präsidium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Präsidium der Bundesrechtsanwaltskammer wird von der Hauptversammlung aus ihrer Mitte gewählt. In das Präsidium kann wiedergewählt werden, wer Mitglied des Vorstandes einer Rechtsanwaltskammer ist.</w:t>
      </w:r>
    </w:p>
    <w:p>
      <w:r>
        <w:t xml:space="preserve">(2) Das Nähere bestimmt die Satzung der Bundesrechtsanwaltskammer.</w:t>
      </w:r>
    </w:p>
    <w:p>
      <w:r>
        <w:rPr>
          <w:color w:val="555555"/>
          <w:sz w:val="17"/>
        </w:rPr>
        <w:t xml:space="preserve">Zitiervorschlag: § 180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