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179 BRAO — Zusammensetzung des Präsidiums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Bundesrechtsanwaltskammer hat ein Präsidium.</w:t>
      </w:r>
    </w:p>
    <w:p>
      <w:r>
        <w:t xml:space="preserve">(2) Das Präsidium besteht aus</w:t>
      </w:r>
    </w:p>
    <w:p>
      <w:pPr>
        <w:ind w:left="420"/>
      </w:pPr>
      <w:r>
        <w:t xml:space="preserve">1. dem Präsidenten,2. mindestens drei Vizepräsidenten,3. dem Schatzmeister.</w:t>
      </w:r>
    </w:p>
    <w:p>
      <w:r>
        <w:t xml:space="preserve">(3) Das Präsidium gibt sich eine Geschäftsordnung.</w:t>
      </w:r>
    </w:p>
    <w:p>
      <w:r>
        <w:t xml:space="preserve">(4) Die Hauptversammlung kann weitere Vizepräsidenten bestimmen.</w:t>
      </w:r>
    </w:p>
    <w:p>
      <w:r>
        <w:rPr>
          <w:color w:val="555555"/>
          <w:sz w:val="17"/>
        </w:rPr>
        <w:t xml:space="preserve">Zitiervorschlag: § 179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