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178 BRAO — Beiträge zur Bundesrechtsanwaltskammer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Bundesrechtsanwaltskammer erhebt von den Rechtsanwaltskammern Beiträge, die zur Deckung des persönlichen und sächlichen Bedarfs bestimmt sind.</w:t>
      </w:r>
    </w:p>
    <w:p>
      <w:r>
        <w:t xml:space="preserve">(2) Die Höhe der Beiträge wird von der Hauptversammlung festgesetzt.</w:t>
      </w:r>
    </w:p>
    <w:p>
      <w:r>
        <w:t xml:space="preserve">(3) Die Hauptversammlung kann einzelnen wirtschaftlich schwächeren Rechtsanwaltskammern Erleichterungen gewähren.</w:t>
      </w:r>
    </w:p>
    <w:p>
      <w:r>
        <w:rPr>
          <w:color w:val="555555"/>
          <w:sz w:val="17"/>
        </w:rPr>
        <w:t xml:space="preserve">Zitiervorschlag: § 178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