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177 BRAO — Aufgaben der Bundesrechtsanwaltskammer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16.03.2023 (konsolidierte Textfassung, kein amtliches Inkrafttretensdatum)</w:t>
      </w:r>
    </w:p>
    <w:p>
      <w:r>
        <w:t xml:space="preserve">(1) Die Bundesrechtsanwaltskammer hat die ihr durch Gesetz zugewiesenen Aufgaben zu erfüllen.</w:t>
      </w:r>
    </w:p>
    <w:p>
      <w:r>
        <w:t xml:space="preserve">(2) Der Bundesrechtsanwaltskammer obliegt insbesondere,</w:t>
      </w:r>
    </w:p>
    <w:p>
      <w:pPr>
        <w:ind w:left="420"/>
      </w:pPr>
      <w:r>
        <w:t xml:space="preserve">1. in Fragen, welche die Gesamtheit der Rechtsanwaltskammern angehen, die Auffassung der einzelnen Rechtsanwaltskammern zu ermitteln und im Wege gemeinschaftlicher Aussprache die Auffassung der Mehrheit festzustellen;</w:t>
      </w:r>
    </w:p>
    <w:p>
      <w:pPr>
        <w:ind w:left="420"/>
      </w:pPr>
      <w:r>
        <w:t xml:space="preserve">2. Richtlinien für die Fürsorgeeinrichtungen der Rechtsanwaltskammern (§ 89 Abs. 2 Nr. 3) aufzustellen;</w:t>
      </w:r>
    </w:p>
    <w:p>
      <w:pPr>
        <w:ind w:left="420"/>
      </w:pPr>
      <w:r>
        <w:t xml:space="preserve">3. in allen die Gesamtheit der Rechtsanwaltskammern berührenden Angelegenheiten die Auffassung der Bundesrechtsanwaltskammer den zuständigen Gerichten und Behörden gegenüber zur Geltung zu bringen;</w:t>
      </w:r>
    </w:p>
    <w:p>
      <w:pPr>
        <w:ind w:left="420"/>
      </w:pPr>
      <w:r>
        <w:t xml:space="preserve">4. die Gesamtheit der Rechtsanwaltskammern gegenüber Behörden und Organisationen zu vertreten;</w:t>
      </w:r>
    </w:p>
    <w:p>
      <w:pPr>
        <w:ind w:left="420"/>
      </w:pPr>
      <w:r>
        <w:t xml:space="preserve">5. Gutachten zu erstatten, die eine an der Gesetzgebung beteiligte Behörde oder Körperschaft des Bundes oder ein Bundesgericht anfordert;</w:t>
      </w:r>
    </w:p>
    <w:p>
      <w:pPr>
        <w:ind w:left="420"/>
      </w:pPr>
      <w:r>
        <w:t xml:space="preserve">6. die berufliche Fortbildung der Rechtsanwälte zu fördern;</w:t>
      </w:r>
    </w:p>
    <w:p>
      <w:pPr>
        <w:ind w:left="420"/>
      </w:pPr>
      <w:r>
        <w:t xml:space="preserve">7. die elektronische Kommunikation der Rechtsanwälte mit Gerichten, Behörden und sonstigen Dritten zu unterstützen;</w:t>
      </w:r>
    </w:p>
    <w:p>
      <w:pPr>
        <w:ind w:left="420"/>
      </w:pPr>
      <w:r>
        <w:t xml:space="preserve">8. die Rechtsanwaltskammern und die Rechtsanwälte bei der Erfüllung ihrer Pflichten im Rahmen der Geldwäschebekämpfung zu unterstützen.</w:t>
      </w:r>
    </w:p>
    <w:p>
      <w:r>
        <w:rPr>
          <w:color w:val="555555"/>
          <w:sz w:val="17"/>
        </w:rPr>
        <w:t xml:space="preserve">Zitiervorschlag: § 177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