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175 BRAO — Zusammensetzung und Sitz der Bundesrechtsanwaltskammer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Rechtsanwaltskammern werden zu einer Bundesrechtsanwaltskammer zusammengeschlossen.</w:t>
      </w:r>
    </w:p>
    <w:p>
      <w:r>
        <w:t xml:space="preserve">(2) Der Sitz der Bundesrechtsanwaltskammer wird durch ihre Satzung bestimmt.</w:t>
      </w:r>
    </w:p>
    <w:p>
      <w:r>
        <w:rPr>
          <w:color w:val="555555"/>
          <w:sz w:val="17"/>
        </w:rPr>
        <w:t xml:space="preserve">Zitiervorschlag: § 175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