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BRAO — Zusammensetzung und Vorstand</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Rechtsanwälte und Berufsausübungsgesellschaften, die bei dem Bundesgerichtshof zugelassen sind, bilden die Rechtsanwaltskammer bei dem Bundesgerichtshof. Für die Dauer der Zulassung bei dem Bundesgerichtshof ruht die Mitgliedschaft in der bisherigen Rechtsanwaltskammer.</w:t>
      </w:r>
    </w:p>
    <w:p>
      <w:r>
        <w:t xml:space="preserve">(2) Die Zahl der Mitglieder des Vorstandes wird durch die Geschäftsordnung der Kammer festgesetzt. § 63 Abs. 2 ist nicht anzuwenden.</w:t>
      </w:r>
    </w:p>
    <w:p>
      <w:r>
        <w:rPr>
          <w:color w:val="555555"/>
          <w:sz w:val="17"/>
        </w:rPr>
        <w:t xml:space="preserve">Zitiervorschlag: § 174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