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BRAO — Entscheidung des Wahlausschusses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Wahlausschuß ist beschlußfähig, wenn die Mehrzahl sowohl der dem Bundesgerichtshof angehörenden Mitglieder als auch der Mitglieder der Präsidien der Bundesrechtsanwaltskammer und der Rechtsanwaltskammer bei dem Bundesgerichtshof anwesend ist. Er entscheidet mit einfacher Stimmenmehrheit. Die Abstimmung ist geheim.</w:t>
      </w:r>
    </w:p>
    <w:p>
      <w:r>
        <w:t xml:space="preserve">(2) Der Wahlausschuß benennt aus den Vorschlagslisten die doppelte Zahl von Rechtsanwälten, die er für die Zulassung bei dem Bundesgerichtshof für angemessen hält.</w:t>
      </w:r>
    </w:p>
    <w:p>
      <w:r>
        <w:t xml:space="preserve">(3) Durch die Benennung wird für die Bewerberin oder den Bewerber ein Anspruch auf Zulassung als Rechtsanwalt bei dem Bundesgerichtshof nicht begründet.</w:t>
      </w:r>
    </w:p>
    <w:p>
      <w:r>
        <w:rPr>
          <w:color w:val="555555"/>
          <w:sz w:val="17"/>
        </w:rPr>
        <w:t xml:space="preserve">Zitiervorschlag: § 168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