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167a BRAO — Akteneinsicht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Rechtsanwalt, der in die Vorschlagsliste aufgenommen wurde, hat das Recht, die Protokolle des Wahlausschusses einzusehen.</w:t>
      </w:r>
    </w:p>
    <w:p>
      <w:r>
        <w:t xml:space="preserve">(2) Die persönlichen, beruflichen und wirtschaftlichen Verhältnisse des Rechtsanwalts werden in einem gesonderten Bericht dargestellt, den der Rechtsanwalt einsehen kann.</w:t>
      </w:r>
    </w:p>
    <w:p>
      <w:r>
        <w:t xml:space="preserve">(3) § 58 Absatz 2 ist entsprechend anzuwenden.</w:t>
      </w:r>
    </w:p>
    <w:p>
      <w:r>
        <w:rPr>
          <w:color w:val="555555"/>
          <w:sz w:val="17"/>
        </w:rPr>
        <w:t xml:space="preserve">Zitiervorschlag: § 167a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https://recht.nulegal.eu/gesetze/BRAO/167a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